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AE18F" w14:textId="7C509EA1" w:rsidR="00846DD2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9A1FC0">
        <w:rPr>
          <w:rFonts w:asciiTheme="minorHAnsi" w:hAnsiTheme="minorHAnsi" w:cstheme="minorHAnsi"/>
        </w:rPr>
        <w:t>zadanie nr 3</w:t>
      </w:r>
      <w:r w:rsidR="00F65661">
        <w:rPr>
          <w:rFonts w:asciiTheme="minorHAnsi" w:hAnsiTheme="minorHAnsi" w:cstheme="minorHAnsi"/>
        </w:rPr>
        <w:t>: Butelkowy system filtracyjny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3A0CAD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</w:tcPr>
          <w:p w14:paraId="21FBF2A8" w14:textId="77777777" w:rsidR="00835CB5" w:rsidRPr="008D65FD" w:rsidRDefault="00835CB5" w:rsidP="003A0CA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3A0CA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3A0CA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3A0CA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3A0CA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</w:tcPr>
          <w:p w14:paraId="01D17CA8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</w:tcPr>
          <w:p w14:paraId="5CA7FA98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</w:tcPr>
          <w:p w14:paraId="09FD1365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</w:tcPr>
          <w:p w14:paraId="7363D8A2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</w:tcPr>
          <w:p w14:paraId="760C2455" w14:textId="77777777" w:rsidR="00835CB5" w:rsidRPr="008D65FD" w:rsidRDefault="00835CB5" w:rsidP="003A0CAD">
            <w:pPr>
              <w:pStyle w:val="Nagwek9"/>
              <w:spacing w:before="0" w:line="276" w:lineRule="auto"/>
              <w:jc w:val="both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</w:tcPr>
          <w:p w14:paraId="46C7CD7C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3A0CAD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9A1FC0" w:rsidRPr="008E529F" w14:paraId="7D3BC5AF" w14:textId="77777777" w:rsidTr="003A0CAD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CB8B9" w14:textId="7777777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42F6" w14:textId="629DADF3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Butelkowy system filtracji próżniowej, kompletny moduł filtracyjny, pojemność: 1000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, membrana: PES 0,20 µm; "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Bottle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-Top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Vacuum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Filtration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Systems, PES" opakowanie: 12 sztuk; ilość: 6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A238" w14:textId="5627419B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pojemność: 1000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; średnica membrany: 91 mm; membrana: PES: rozmiar porów: 0,20 µm; zawiera: lejek z polistyrenu, port próżniowy, pokrywę, zbiornik do zbierania i nasadkę do przechowywania; do filtracji próżniowej roztworów wodnych, w tym pożywek do hodowli komórkowych, buforów lub innych płynów biologicznych; po zakończeniu filtracji roztwór może być przechowywany w zbiorniku do czasu, aż będzie potrzebny; niepirogenny, niecytotoksyczny; certyfikat: ISO 10993-5: 1999 lub równoważny; opakowanie: pakowane pojedynczo w łatwe do otwierania torebki, zakrętka butelki </w:t>
            </w: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odbiorczej jest pakowana pojedynczo; 12 sztuk w opakowaniu</w:t>
            </w:r>
          </w:p>
        </w:tc>
        <w:tc>
          <w:tcPr>
            <w:tcW w:w="1134" w:type="dxa"/>
            <w:shd w:val="clear" w:color="auto" w:fill="FFFFFF"/>
          </w:tcPr>
          <w:p w14:paraId="1DDC29CB" w14:textId="51B3DAF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12 sztuk</w:t>
            </w:r>
          </w:p>
        </w:tc>
        <w:tc>
          <w:tcPr>
            <w:tcW w:w="992" w:type="dxa"/>
            <w:shd w:val="clear" w:color="auto" w:fill="FFFFFF"/>
          </w:tcPr>
          <w:p w14:paraId="223C1682" w14:textId="7BE41915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993" w:type="dxa"/>
          </w:tcPr>
          <w:p w14:paraId="763830D2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B5DFF3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4A44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D624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E8D6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7B4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9A1FC0" w:rsidRPr="008E529F" w14:paraId="0DDBF37D" w14:textId="77777777" w:rsidTr="003A0CAD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BCDD8" w14:textId="7777777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AFE39" w14:textId="77777777" w:rsidR="009A1FC0" w:rsidRDefault="009A1FC0" w:rsidP="003A0CAD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Butelkowy system filtracji próżniowej, kompletny moduł filtracyjny, pojemność: 250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, membrana PES 0,20 µm; t "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Bottle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-Top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Vacuum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Filtration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Systems, PES" </w:t>
            </w:r>
          </w:p>
          <w:p w14:paraId="3AB4E0AA" w14:textId="61479305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opakowanie: 12 sztuk; ilość: 6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BA3B6" w14:textId="11E002A5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pojemność: 250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; średnica membrany: 50 mm; membrana: PES: rozmiar porów: 0,20 µm; zawiera: lejek z polistyrenu, port próżniowy, pokrywę, zbiornik do zbierania i nasadkę do przechowywania; do filtracji próżniowej roztworów wodnych, w tym pożywek do hodowli komórkowych, buforów lub innych płynów biologicznych; po zakończeniu filtracji roztwór może być przechowywany w zbiorniku do czasu, aż będzie potrzebny; niepirogenny, niecytotoksyczny; certyfikat: ISO 10993-5: 1999 lub równoważny; opakowanie: pakowane pojedynczo w łatwe do otwierania torebki, zakrętka butelki odbiorczej jest pakowana pojedynczo; 12 sztuk w opakowaniu</w:t>
            </w:r>
          </w:p>
        </w:tc>
        <w:tc>
          <w:tcPr>
            <w:tcW w:w="1134" w:type="dxa"/>
            <w:shd w:val="clear" w:color="auto" w:fill="FFFFFF"/>
          </w:tcPr>
          <w:p w14:paraId="676461AB" w14:textId="6F78930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12 szt.</w:t>
            </w:r>
          </w:p>
        </w:tc>
        <w:tc>
          <w:tcPr>
            <w:tcW w:w="992" w:type="dxa"/>
            <w:shd w:val="clear" w:color="auto" w:fill="FFFFFF"/>
          </w:tcPr>
          <w:p w14:paraId="1103D42F" w14:textId="7FAD71F2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993" w:type="dxa"/>
          </w:tcPr>
          <w:p w14:paraId="5AEFDA9A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A22362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2D7B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C172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EC55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260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9A1FC0" w:rsidRPr="008E529F" w14:paraId="0E864919" w14:textId="77777777" w:rsidTr="003A0CAD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8CA91" w14:textId="7777777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A9F95" w14:textId="77777777" w:rsidR="009A1FC0" w:rsidRDefault="009A1FC0" w:rsidP="003A0CAD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Butelkowy system filtracji próżniowej, kompletny moduł filtracyjny, pojemność: 500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, membrana PES 0,20 µm; "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Bottle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-Top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Vacuum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Filtration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Systems, PES" </w:t>
            </w:r>
          </w:p>
          <w:p w14:paraId="341FF372" w14:textId="4418DC83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opakowanie: 12 sztuk; ilość: 6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1CED" w14:textId="08D06F13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pojemność: 500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; średnica membrany: 75 mm; membrana: PES: rozmiar porów: 0,20 µm; zawiera: lejek z polistyrenu, port próżniowy, pokrywę, zbiornik do zbierania i nasadkę do przechowywania; do filtracji próżniowej roztworów wodnych, w tym pożywek do hodowli komórkowych, buforów lub innych płynów biologicznych; po zakończeniu filtracji roztwór może być przechowywany w zbiorniku do czasu, aż będzie potrzebny; niepirogenny, niecytotoksyczny; certyfikat: ISO 10993-5: 1999 lub równoważny; opakowanie: pakowane pojedynczo w łatwe do otwierania torebki, zakrętka butelki odbiorczej jest pakowana pojedynczo; 12 sztuk w opakowaniu</w:t>
            </w:r>
          </w:p>
        </w:tc>
        <w:tc>
          <w:tcPr>
            <w:tcW w:w="1134" w:type="dxa"/>
            <w:shd w:val="clear" w:color="auto" w:fill="FFFFFF"/>
          </w:tcPr>
          <w:p w14:paraId="33219900" w14:textId="4AA111BE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Opakowanie 12 </w:t>
            </w:r>
            <w:proofErr w:type="spellStart"/>
            <w:r>
              <w:rPr>
                <w:rFonts w:ascii="Calibri" w:hAnsi="Calibri" w:cs="Calibri"/>
                <w:szCs w:val="24"/>
              </w:rPr>
              <w:t>sztk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14:paraId="2AF753DE" w14:textId="2032819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6</w:t>
            </w:r>
          </w:p>
        </w:tc>
        <w:tc>
          <w:tcPr>
            <w:tcW w:w="993" w:type="dxa"/>
          </w:tcPr>
          <w:p w14:paraId="6D592E55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53660C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94E1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042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C99E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3D7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9A1FC0" w:rsidRPr="008E529F" w14:paraId="7A236DFE" w14:textId="77777777" w:rsidTr="003A0CAD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EFD54" w14:textId="7777777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858BC" w14:textId="3F41EB71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Kielich filtracyjny o pojemności 1 L (membrana PES 0,2 µm); "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Bottle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-Top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Vacuum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Filtration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Systems, PES" opakowanie: 24 sztuki; ilość: 5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E901" w14:textId="5EF22916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materiał kielicha: PS, rodzaj membrany: PES, średnica membrany: 91 mm, średnica porów membrany: 0,20 µm; </w:t>
            </w: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pojemność kielicha: 1000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; nie pirogenny, nie cytotoksyczny</w:t>
            </w:r>
          </w:p>
        </w:tc>
        <w:tc>
          <w:tcPr>
            <w:tcW w:w="1134" w:type="dxa"/>
            <w:shd w:val="clear" w:color="auto" w:fill="FFFFFF"/>
          </w:tcPr>
          <w:p w14:paraId="0487BADC" w14:textId="7593F69C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24 sztuki</w:t>
            </w:r>
          </w:p>
        </w:tc>
        <w:tc>
          <w:tcPr>
            <w:tcW w:w="992" w:type="dxa"/>
            <w:shd w:val="clear" w:color="auto" w:fill="FFFFFF"/>
          </w:tcPr>
          <w:p w14:paraId="6618482F" w14:textId="4868A39A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993" w:type="dxa"/>
          </w:tcPr>
          <w:p w14:paraId="4C96311A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8E6A037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3BCB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E1B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56F8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1474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9A1FC0" w:rsidRPr="008E529F" w14:paraId="4F4E7000" w14:textId="77777777" w:rsidTr="003A0CAD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FB0E5" w14:textId="7777777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1256" w14:textId="524AE2D5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Kielich filtracyjny o pojemności 250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(membrana PES 0,2 µm); "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Bottle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-Top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Vacuum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Filtration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Systems, PES" opakowanie: 24 sztuki; ilość: 5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6295" w14:textId="1DECF626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materiał kielicha: PS, rodzaj membrany: PES, średnica membrany: 50 mm, średnica porów membrany: 0,20 µm; pojemność kielicha: 250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; nie pirogenny, nie cytotoksyczny</w:t>
            </w:r>
          </w:p>
        </w:tc>
        <w:tc>
          <w:tcPr>
            <w:tcW w:w="1134" w:type="dxa"/>
            <w:shd w:val="clear" w:color="auto" w:fill="FFFFFF"/>
          </w:tcPr>
          <w:p w14:paraId="4A70B2FD" w14:textId="443803FA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24 sztuki</w:t>
            </w:r>
          </w:p>
        </w:tc>
        <w:tc>
          <w:tcPr>
            <w:tcW w:w="992" w:type="dxa"/>
            <w:shd w:val="clear" w:color="auto" w:fill="FFFFFF"/>
          </w:tcPr>
          <w:p w14:paraId="608F6AFA" w14:textId="33FD778C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993" w:type="dxa"/>
          </w:tcPr>
          <w:p w14:paraId="7907D534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C8B2AAB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C8D9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07CB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E437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FA47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9A1FC0" w:rsidRPr="008E529F" w14:paraId="56E3638C" w14:textId="77777777" w:rsidTr="003A0CAD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B116BA" w14:textId="6C6EDCB4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6.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DE13" w14:textId="26ABD172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Kielich filtracyjny o pojemności 500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(membrana PES 0,2 µm); "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Bottle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-Top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Vacuum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Filtration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 Systems, PES: opakowanie: 24 sztuki; ilość: 5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14629" w14:textId="288EBA63" w:rsidR="009A1FC0" w:rsidRPr="008D65FD" w:rsidRDefault="009A1FC0" w:rsidP="003A0CAD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 xml:space="preserve">materiał kielicha: PS, rodzaj membrany: PES, średnica membrany: 75 mm, średnica porów membrany: 0,20 µm; pojemność kielicha: 500 </w:t>
            </w:r>
            <w:proofErr w:type="spellStart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mL</w:t>
            </w:r>
            <w:proofErr w:type="spellEnd"/>
            <w:r w:rsidRPr="00B247CD">
              <w:rPr>
                <w:rFonts w:ascii="Calibri" w:eastAsia="Times New Roman" w:hAnsi="Calibri" w:cs="Calibri"/>
                <w:szCs w:val="24"/>
                <w:lang w:eastAsia="pl-PL"/>
              </w:rPr>
              <w:t>; nie pirogenny, nie cytotoksyczny</w:t>
            </w:r>
          </w:p>
        </w:tc>
        <w:tc>
          <w:tcPr>
            <w:tcW w:w="1134" w:type="dxa"/>
            <w:shd w:val="clear" w:color="auto" w:fill="FFFFFF"/>
          </w:tcPr>
          <w:p w14:paraId="299D62C5" w14:textId="2B62A777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9A1FC0">
              <w:rPr>
                <w:rFonts w:ascii="Calibri" w:hAnsi="Calibri" w:cs="Calibri"/>
                <w:szCs w:val="24"/>
              </w:rPr>
              <w:t>Opakowanie 24 sztuki</w:t>
            </w:r>
          </w:p>
        </w:tc>
        <w:tc>
          <w:tcPr>
            <w:tcW w:w="992" w:type="dxa"/>
            <w:shd w:val="clear" w:color="auto" w:fill="FFFFFF"/>
          </w:tcPr>
          <w:p w14:paraId="15E2EB2C" w14:textId="02BF4D8F" w:rsidR="009A1FC0" w:rsidRPr="008D65FD" w:rsidRDefault="009A1FC0" w:rsidP="003A0CAD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993" w:type="dxa"/>
          </w:tcPr>
          <w:p w14:paraId="3D64B507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B81904D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D41C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EC80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9211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460E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9A1FC0" w:rsidRPr="008E529F" w14:paraId="355AB1CB" w14:textId="77777777" w:rsidTr="003A0CAD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9A1FC0" w:rsidRPr="008D65FD" w:rsidRDefault="009A1FC0" w:rsidP="003A0CAD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5DD7" w14:textId="77777777" w:rsidR="009A1FC0" w:rsidRPr="008D65FD" w:rsidRDefault="009A1FC0" w:rsidP="003A0CAD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B15C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EF5E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8D90" w14:textId="77777777" w:rsidR="009A1FC0" w:rsidRPr="008D65FD" w:rsidRDefault="009A1FC0" w:rsidP="003A0CAD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</w:tbl>
    <w:p w14:paraId="380968C9" w14:textId="77777777" w:rsidR="003A0CAD" w:rsidRDefault="003A0CAD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5C05B518" w14:textId="77777777" w:rsidR="003A0CAD" w:rsidRDefault="003A0CAD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62013DE5" w14:textId="77777777" w:rsidR="003A0CAD" w:rsidRDefault="003A0CAD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64B074C6" w14:textId="77777777" w:rsidR="003A0CAD" w:rsidRDefault="003A0CAD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607CB010" w14:textId="77777777" w:rsidR="003A0CAD" w:rsidRDefault="003A0CAD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B2BEE" w14:textId="77777777" w:rsidR="00503ABF" w:rsidRDefault="00503ABF" w:rsidP="00D872A6">
      <w:pPr>
        <w:spacing w:after="0" w:line="240" w:lineRule="auto"/>
      </w:pPr>
      <w:r>
        <w:separator/>
      </w:r>
    </w:p>
  </w:endnote>
  <w:endnote w:type="continuationSeparator" w:id="0">
    <w:p w14:paraId="1CE5B78C" w14:textId="77777777" w:rsidR="00503ABF" w:rsidRDefault="00503ABF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4D0">
          <w:rPr>
            <w:noProof/>
          </w:rPr>
          <w:t>5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24A3A" w14:textId="77777777" w:rsidR="00503ABF" w:rsidRDefault="00503ABF" w:rsidP="00D872A6">
      <w:pPr>
        <w:spacing w:after="0" w:line="240" w:lineRule="auto"/>
      </w:pPr>
      <w:r>
        <w:separator/>
      </w:r>
    </w:p>
  </w:footnote>
  <w:footnote w:type="continuationSeparator" w:id="0">
    <w:p w14:paraId="5ECC4446" w14:textId="77777777" w:rsidR="00503ABF" w:rsidRDefault="00503ABF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645FA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0CAD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728F"/>
    <w:rsid w:val="004D2D9F"/>
    <w:rsid w:val="004F5E83"/>
    <w:rsid w:val="00503ABF"/>
    <w:rsid w:val="00516963"/>
    <w:rsid w:val="0052397E"/>
    <w:rsid w:val="005370FB"/>
    <w:rsid w:val="00541696"/>
    <w:rsid w:val="00547D7F"/>
    <w:rsid w:val="00555008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254D0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135C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1FC0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C0B2F"/>
    <w:rsid w:val="00AC74B9"/>
    <w:rsid w:val="00AE097F"/>
    <w:rsid w:val="00AF3A1B"/>
    <w:rsid w:val="00B1726C"/>
    <w:rsid w:val="00B20D9C"/>
    <w:rsid w:val="00B33B3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2764"/>
    <w:rsid w:val="00CD6BC1"/>
    <w:rsid w:val="00CE746A"/>
    <w:rsid w:val="00CF69B8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436D1"/>
    <w:rsid w:val="00E47416"/>
    <w:rsid w:val="00E55104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5661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8880F-E433-4D6E-A363-BE5A8068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782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4</cp:revision>
  <cp:lastPrinted>2015-07-14T12:13:00Z</cp:lastPrinted>
  <dcterms:created xsi:type="dcterms:W3CDTF">2025-11-18T14:42:00Z</dcterms:created>
  <dcterms:modified xsi:type="dcterms:W3CDTF">2025-11-24T10:10:00Z</dcterms:modified>
</cp:coreProperties>
</file>